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214" w:rsidRDefault="00B90214" w:rsidP="00B90214">
      <w:pPr>
        <w:spacing w:line="360" w:lineRule="auto"/>
        <w:jc w:val="right"/>
        <w:rPr>
          <w:rFonts w:ascii="Arial" w:hAnsi="Arial" w:cs="Arial"/>
          <w:b/>
        </w:rPr>
      </w:pPr>
      <w:r w:rsidRPr="00F02453">
        <w:rPr>
          <w:rFonts w:ascii="Arial" w:hAnsi="Arial" w:cs="Arial"/>
          <w:b/>
        </w:rPr>
        <w:t xml:space="preserve">           Resolução nº </w:t>
      </w:r>
      <w:r>
        <w:rPr>
          <w:rFonts w:ascii="Arial" w:hAnsi="Arial" w:cs="Arial"/>
          <w:b/>
        </w:rPr>
        <w:t>12</w:t>
      </w:r>
      <w:r w:rsidR="00D374DB">
        <w:rPr>
          <w:rFonts w:ascii="Arial" w:hAnsi="Arial" w:cs="Arial"/>
          <w:b/>
        </w:rPr>
        <w:t>, 06</w:t>
      </w:r>
      <w:r w:rsidR="00C9678B">
        <w:rPr>
          <w:rFonts w:ascii="Arial" w:hAnsi="Arial" w:cs="Arial"/>
          <w:b/>
        </w:rPr>
        <w:t xml:space="preserve"> </w:t>
      </w:r>
      <w:r w:rsidRPr="00F02453">
        <w:rPr>
          <w:rFonts w:ascii="Arial" w:hAnsi="Arial" w:cs="Arial"/>
          <w:b/>
        </w:rPr>
        <w:t>de Outubro de 2014.</w:t>
      </w:r>
    </w:p>
    <w:p w:rsidR="00B90214" w:rsidRPr="00B90214" w:rsidRDefault="00B90214" w:rsidP="00B90214">
      <w:pPr>
        <w:spacing w:line="360" w:lineRule="auto"/>
        <w:jc w:val="both"/>
        <w:rPr>
          <w:rFonts w:asciiTheme="majorHAnsi" w:hAnsiTheme="majorHAnsi" w:cs="Arial"/>
          <w:b/>
          <w:sz w:val="24"/>
          <w:szCs w:val="24"/>
        </w:rPr>
      </w:pPr>
      <w:r w:rsidRPr="000948B2">
        <w:rPr>
          <w:rFonts w:asciiTheme="majorHAnsi" w:hAnsiTheme="majorHAnsi" w:cs="Arial"/>
          <w:b/>
          <w:sz w:val="24"/>
          <w:szCs w:val="24"/>
        </w:rPr>
        <w:t xml:space="preserve">          Dispõe sobre a Consti</w:t>
      </w:r>
      <w:r>
        <w:rPr>
          <w:rFonts w:asciiTheme="majorHAnsi" w:hAnsiTheme="majorHAnsi" w:cs="Arial"/>
          <w:b/>
          <w:sz w:val="24"/>
          <w:szCs w:val="24"/>
        </w:rPr>
        <w:t xml:space="preserve">tuição da Comissão Eleitoral </w:t>
      </w:r>
      <w:r w:rsidRPr="000948B2">
        <w:rPr>
          <w:rFonts w:asciiTheme="majorHAnsi" w:hAnsiTheme="majorHAnsi" w:cs="Arial"/>
          <w:b/>
          <w:sz w:val="24"/>
          <w:szCs w:val="24"/>
        </w:rPr>
        <w:t>no âmbito do Conselho Municipal da Pessoa c</w:t>
      </w:r>
      <w:r>
        <w:rPr>
          <w:rFonts w:asciiTheme="majorHAnsi" w:hAnsiTheme="majorHAnsi" w:cs="Arial"/>
          <w:b/>
          <w:sz w:val="24"/>
          <w:szCs w:val="24"/>
        </w:rPr>
        <w:t xml:space="preserve">om Deficiência de Caraguatatuba para processo </w:t>
      </w:r>
      <w:r w:rsidR="00C9678B">
        <w:rPr>
          <w:rFonts w:asciiTheme="majorHAnsi" w:hAnsiTheme="majorHAnsi" w:cs="Arial"/>
          <w:b/>
          <w:sz w:val="24"/>
          <w:szCs w:val="24"/>
        </w:rPr>
        <w:t>eleitoral de preenchimento de VACÂNCIAS de representantes da Sociedade Civil para completar a Gestão 2013</w:t>
      </w:r>
      <w:r>
        <w:rPr>
          <w:rFonts w:asciiTheme="majorHAnsi" w:hAnsiTheme="majorHAnsi" w:cs="Arial"/>
          <w:b/>
          <w:sz w:val="24"/>
          <w:szCs w:val="24"/>
        </w:rPr>
        <w:t>-2016.</w:t>
      </w:r>
    </w:p>
    <w:p w:rsidR="00B90214" w:rsidRPr="00F02453" w:rsidRDefault="00B90214" w:rsidP="00B90214">
      <w:pPr>
        <w:spacing w:line="360" w:lineRule="auto"/>
        <w:jc w:val="both"/>
        <w:rPr>
          <w:rFonts w:ascii="Arial" w:hAnsi="Arial" w:cs="Arial"/>
        </w:rPr>
      </w:pPr>
      <w:r w:rsidRPr="00F02453">
        <w:rPr>
          <w:rFonts w:ascii="Arial" w:hAnsi="Arial" w:cs="Arial"/>
        </w:rPr>
        <w:t xml:space="preserve">O Conselho da Pessoa com Deficiência no uso das atribuições que lhe são conferidas pela Lei nº 1.992, de 02 de Dezembro de 2010 e Lei nº 2026 de 12 de Junho de 2012 e pela Lei nº 2.059, de 12 de Novembro de 2012; em assembléia ordinária realizada em 10 de Setembro de 2014; </w:t>
      </w:r>
      <w:r>
        <w:rPr>
          <w:rFonts w:ascii="Arial" w:hAnsi="Arial" w:cs="Arial"/>
        </w:rPr>
        <w:t xml:space="preserve">ATA nº 48; </w:t>
      </w:r>
    </w:p>
    <w:p w:rsidR="00B90214" w:rsidRPr="000948B2" w:rsidRDefault="00B90214" w:rsidP="00B90214">
      <w:pPr>
        <w:spacing w:line="360" w:lineRule="auto"/>
        <w:jc w:val="both"/>
        <w:rPr>
          <w:rFonts w:asciiTheme="majorHAnsi" w:hAnsiTheme="majorHAnsi" w:cs="Arial"/>
          <w:b/>
          <w:sz w:val="24"/>
          <w:szCs w:val="24"/>
        </w:rPr>
      </w:pPr>
      <w:r w:rsidRPr="000948B2">
        <w:rPr>
          <w:rFonts w:asciiTheme="majorHAnsi" w:hAnsiTheme="majorHAnsi" w:cs="Arial"/>
          <w:b/>
          <w:sz w:val="24"/>
          <w:szCs w:val="24"/>
        </w:rPr>
        <w:t>RESOLVE:</w:t>
      </w:r>
    </w:p>
    <w:p w:rsidR="00B90214" w:rsidRDefault="00B90214" w:rsidP="00B90214">
      <w:pPr>
        <w:spacing w:line="360" w:lineRule="auto"/>
        <w:jc w:val="both"/>
        <w:rPr>
          <w:rFonts w:asciiTheme="majorHAnsi" w:hAnsiTheme="majorHAnsi" w:cs="Arial"/>
          <w:sz w:val="24"/>
          <w:szCs w:val="24"/>
        </w:rPr>
      </w:pPr>
      <w:r w:rsidRPr="000948B2">
        <w:rPr>
          <w:rFonts w:asciiTheme="majorHAnsi" w:hAnsiTheme="majorHAnsi" w:cs="Arial"/>
          <w:sz w:val="24"/>
          <w:szCs w:val="24"/>
        </w:rPr>
        <w:t>Artigo 1º - Constituir Comis</w:t>
      </w:r>
      <w:r>
        <w:rPr>
          <w:rFonts w:asciiTheme="majorHAnsi" w:hAnsiTheme="majorHAnsi" w:cs="Arial"/>
          <w:sz w:val="24"/>
          <w:szCs w:val="24"/>
        </w:rPr>
        <w:t>são Eleitoral,</w:t>
      </w:r>
      <w:r w:rsidRPr="000948B2">
        <w:rPr>
          <w:rFonts w:asciiTheme="majorHAnsi" w:hAnsiTheme="majorHAnsi" w:cs="Arial"/>
          <w:sz w:val="24"/>
          <w:szCs w:val="24"/>
        </w:rPr>
        <w:t xml:space="preserve"> </w:t>
      </w:r>
      <w:r>
        <w:rPr>
          <w:rFonts w:asciiTheme="majorHAnsi" w:hAnsiTheme="majorHAnsi" w:cs="Arial"/>
          <w:sz w:val="24"/>
          <w:szCs w:val="24"/>
        </w:rPr>
        <w:t xml:space="preserve">responsável pela operacionalização do processo </w:t>
      </w:r>
      <w:r w:rsidR="00D374DB">
        <w:rPr>
          <w:rFonts w:asciiTheme="majorHAnsi" w:hAnsiTheme="majorHAnsi" w:cs="Arial"/>
          <w:sz w:val="24"/>
          <w:szCs w:val="24"/>
        </w:rPr>
        <w:t>de escolha dos conselheiros da Sociedade C</w:t>
      </w:r>
      <w:r>
        <w:rPr>
          <w:rFonts w:asciiTheme="majorHAnsi" w:hAnsiTheme="majorHAnsi" w:cs="Arial"/>
          <w:sz w:val="24"/>
          <w:szCs w:val="24"/>
        </w:rPr>
        <w:t>ivil que terão assento no Conselho Municipal da Pessoa com Deficiência,</w:t>
      </w:r>
      <w:r w:rsidR="00C9678B">
        <w:rPr>
          <w:rFonts w:asciiTheme="majorHAnsi" w:hAnsiTheme="majorHAnsi" w:cs="Arial"/>
          <w:sz w:val="24"/>
          <w:szCs w:val="24"/>
        </w:rPr>
        <w:t xml:space="preserve"> VACÂNCIAS para cumprimento do tempo de mandato da</w:t>
      </w:r>
      <w:proofErr w:type="gramStart"/>
      <w:r w:rsidR="00C9678B">
        <w:rPr>
          <w:rFonts w:asciiTheme="majorHAnsi" w:hAnsiTheme="majorHAnsi" w:cs="Arial"/>
          <w:sz w:val="24"/>
          <w:szCs w:val="24"/>
        </w:rPr>
        <w:t xml:space="preserve"> </w:t>
      </w:r>
      <w:r>
        <w:rPr>
          <w:rFonts w:asciiTheme="majorHAnsi" w:hAnsiTheme="majorHAnsi" w:cs="Arial"/>
          <w:sz w:val="24"/>
          <w:szCs w:val="24"/>
        </w:rPr>
        <w:t xml:space="preserve"> </w:t>
      </w:r>
      <w:proofErr w:type="gramEnd"/>
      <w:r>
        <w:rPr>
          <w:rFonts w:asciiTheme="majorHAnsi" w:hAnsiTheme="majorHAnsi" w:cs="Arial"/>
          <w:sz w:val="24"/>
          <w:szCs w:val="24"/>
        </w:rPr>
        <w:t>Gestão 2013-2016, a saber:</w:t>
      </w:r>
    </w:p>
    <w:p w:rsidR="00B90214" w:rsidRPr="000948B2" w:rsidRDefault="00B90214" w:rsidP="00B90214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Conselheiros:</w:t>
      </w:r>
      <w:r w:rsidR="00D374DB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Odair Restani Valentim – RG</w:t>
      </w:r>
      <w:proofErr w:type="gramStart"/>
      <w:r>
        <w:rPr>
          <w:rFonts w:asciiTheme="majorHAnsi" w:hAnsiTheme="majorHAnsi"/>
          <w:sz w:val="24"/>
          <w:szCs w:val="24"/>
        </w:rPr>
        <w:t xml:space="preserve"> </w:t>
      </w:r>
      <w:r w:rsidR="00D374DB">
        <w:rPr>
          <w:rFonts w:asciiTheme="majorHAnsi" w:hAnsiTheme="majorHAnsi"/>
          <w:sz w:val="24"/>
          <w:szCs w:val="24"/>
        </w:rPr>
        <w:t xml:space="preserve"> </w:t>
      </w:r>
      <w:proofErr w:type="gramEnd"/>
      <w:r>
        <w:rPr>
          <w:rFonts w:asciiTheme="majorHAnsi" w:hAnsiTheme="majorHAnsi"/>
          <w:sz w:val="24"/>
          <w:szCs w:val="24"/>
        </w:rPr>
        <w:t xml:space="preserve">nº  </w:t>
      </w:r>
      <w:r w:rsidR="00D374DB">
        <w:rPr>
          <w:rFonts w:ascii="Arial" w:hAnsi="Arial" w:cs="Arial"/>
        </w:rPr>
        <w:t>22.763.205-9</w:t>
      </w:r>
      <w:r w:rsidR="00D374DB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;</w:t>
      </w:r>
    </w:p>
    <w:p w:rsidR="00B90214" w:rsidRPr="000948B2" w:rsidRDefault="00B90214" w:rsidP="00B90214">
      <w:pPr>
        <w:rPr>
          <w:rFonts w:asciiTheme="majorHAnsi" w:hAnsiTheme="majorHAnsi"/>
          <w:sz w:val="24"/>
          <w:szCs w:val="24"/>
        </w:rPr>
      </w:pPr>
      <w:r w:rsidRPr="000948B2">
        <w:rPr>
          <w:rFonts w:asciiTheme="majorHAnsi" w:hAnsiTheme="majorHAnsi"/>
          <w:sz w:val="24"/>
          <w:szCs w:val="24"/>
        </w:rPr>
        <w:t xml:space="preserve">                          </w:t>
      </w:r>
      <w:r>
        <w:rPr>
          <w:rFonts w:asciiTheme="majorHAnsi" w:hAnsiTheme="majorHAnsi"/>
          <w:sz w:val="24"/>
          <w:szCs w:val="24"/>
        </w:rPr>
        <w:t xml:space="preserve"> Juliana Coelho de Araujo </w:t>
      </w:r>
      <w:r w:rsidRPr="000948B2">
        <w:rPr>
          <w:rFonts w:asciiTheme="majorHAnsi" w:hAnsiTheme="majorHAnsi"/>
          <w:sz w:val="24"/>
          <w:szCs w:val="24"/>
        </w:rPr>
        <w:t>– RG nº</w:t>
      </w:r>
      <w:r>
        <w:rPr>
          <w:rFonts w:asciiTheme="majorHAnsi" w:hAnsiTheme="majorHAnsi"/>
          <w:sz w:val="24"/>
          <w:szCs w:val="24"/>
        </w:rPr>
        <w:t xml:space="preserve"> 28.280.519-9;</w:t>
      </w:r>
    </w:p>
    <w:p w:rsidR="00B90214" w:rsidRPr="000948B2" w:rsidRDefault="00B90214" w:rsidP="00B90214">
      <w:pPr>
        <w:rPr>
          <w:rFonts w:asciiTheme="majorHAnsi" w:hAnsiTheme="majorHAnsi"/>
          <w:sz w:val="24"/>
          <w:szCs w:val="24"/>
        </w:rPr>
      </w:pPr>
      <w:r w:rsidRPr="000948B2">
        <w:rPr>
          <w:rFonts w:asciiTheme="majorHAnsi" w:hAnsiTheme="majorHAnsi"/>
          <w:sz w:val="24"/>
          <w:szCs w:val="24"/>
        </w:rPr>
        <w:t xml:space="preserve">                          </w:t>
      </w:r>
      <w:r>
        <w:rPr>
          <w:rFonts w:asciiTheme="majorHAnsi" w:hAnsiTheme="majorHAnsi"/>
          <w:sz w:val="24"/>
          <w:szCs w:val="24"/>
        </w:rPr>
        <w:t xml:space="preserve"> Hilde Lyria</w:t>
      </w:r>
      <w:proofErr w:type="gramStart"/>
      <w:r>
        <w:rPr>
          <w:rFonts w:asciiTheme="majorHAnsi" w:hAnsiTheme="majorHAnsi"/>
          <w:sz w:val="24"/>
          <w:szCs w:val="24"/>
        </w:rPr>
        <w:t xml:space="preserve">  </w:t>
      </w:r>
      <w:proofErr w:type="gramEnd"/>
      <w:r>
        <w:rPr>
          <w:rFonts w:asciiTheme="majorHAnsi" w:hAnsiTheme="majorHAnsi"/>
          <w:sz w:val="24"/>
          <w:szCs w:val="24"/>
        </w:rPr>
        <w:t>– RG</w:t>
      </w:r>
      <w:r w:rsidR="00D374DB">
        <w:rPr>
          <w:rFonts w:ascii="Arial" w:hAnsi="Arial" w:cs="Arial"/>
        </w:rPr>
        <w:t xml:space="preserve">  </w:t>
      </w:r>
      <w:r>
        <w:rPr>
          <w:rFonts w:asciiTheme="majorHAnsi" w:hAnsiTheme="majorHAnsi"/>
          <w:sz w:val="24"/>
          <w:szCs w:val="24"/>
        </w:rPr>
        <w:t xml:space="preserve">nº </w:t>
      </w:r>
      <w:r w:rsidR="00D374DB">
        <w:rPr>
          <w:rFonts w:ascii="Arial" w:hAnsi="Arial" w:cs="Arial"/>
        </w:rPr>
        <w:t>3.538.356</w:t>
      </w:r>
      <w:r w:rsidR="00D374DB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;</w:t>
      </w:r>
    </w:p>
    <w:p w:rsidR="00B90214" w:rsidRDefault="00B90214" w:rsidP="00B90214">
      <w:pPr>
        <w:rPr>
          <w:rFonts w:asciiTheme="majorHAnsi" w:hAnsiTheme="majorHAnsi"/>
          <w:sz w:val="24"/>
          <w:szCs w:val="24"/>
        </w:rPr>
      </w:pPr>
      <w:r w:rsidRPr="000948B2">
        <w:rPr>
          <w:rFonts w:asciiTheme="majorHAnsi" w:hAnsiTheme="majorHAnsi"/>
          <w:sz w:val="24"/>
          <w:szCs w:val="24"/>
        </w:rPr>
        <w:t xml:space="preserve">                         </w:t>
      </w:r>
      <w:r>
        <w:rPr>
          <w:rFonts w:asciiTheme="majorHAnsi" w:hAnsiTheme="majorHAnsi"/>
          <w:sz w:val="24"/>
          <w:szCs w:val="24"/>
        </w:rPr>
        <w:t xml:space="preserve">  Beatriz </w:t>
      </w:r>
      <w:r w:rsidR="00D374DB">
        <w:rPr>
          <w:rFonts w:asciiTheme="majorHAnsi" w:hAnsiTheme="majorHAnsi"/>
          <w:sz w:val="24"/>
          <w:szCs w:val="24"/>
        </w:rPr>
        <w:t>Teixeira Cordeiro</w:t>
      </w:r>
      <w:r>
        <w:rPr>
          <w:rFonts w:asciiTheme="majorHAnsi" w:hAnsiTheme="majorHAnsi"/>
          <w:sz w:val="24"/>
          <w:szCs w:val="24"/>
        </w:rPr>
        <w:t xml:space="preserve"> – RG nº 23.347.293-9</w:t>
      </w:r>
      <w:r w:rsidR="00D374DB">
        <w:rPr>
          <w:rFonts w:asciiTheme="majorHAnsi" w:hAnsiTheme="majorHAnsi"/>
          <w:sz w:val="24"/>
          <w:szCs w:val="24"/>
        </w:rPr>
        <w:t>;</w:t>
      </w:r>
    </w:p>
    <w:p w:rsidR="00B90214" w:rsidRDefault="00B90214" w:rsidP="00B90214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          Roberta Alice Zimbre Franzolin – RG nº 33.323.953-2.</w:t>
      </w:r>
    </w:p>
    <w:p w:rsidR="00B90214" w:rsidRPr="001D048B" w:rsidRDefault="00B90214" w:rsidP="00B90214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Secretaria Executiva: Rita de Cássia de Morais Canuto – RG nº 12.902.319X</w:t>
      </w:r>
    </w:p>
    <w:p w:rsidR="00B90214" w:rsidRPr="000948B2" w:rsidRDefault="00B90214" w:rsidP="00B90214">
      <w:pPr>
        <w:spacing w:line="36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Artigo 2</w:t>
      </w:r>
      <w:r w:rsidRPr="000948B2">
        <w:rPr>
          <w:rFonts w:asciiTheme="majorHAnsi" w:hAnsiTheme="majorHAnsi" w:cs="Arial"/>
          <w:sz w:val="24"/>
          <w:szCs w:val="24"/>
        </w:rPr>
        <w:t>º -</w:t>
      </w:r>
      <w:r>
        <w:rPr>
          <w:rFonts w:asciiTheme="majorHAnsi" w:hAnsiTheme="majorHAnsi" w:cs="Arial"/>
          <w:sz w:val="24"/>
          <w:szCs w:val="24"/>
        </w:rPr>
        <w:t xml:space="preserve"> Caberá a Comissão Eleitoral</w:t>
      </w:r>
      <w:r w:rsidRPr="000948B2">
        <w:rPr>
          <w:rFonts w:asciiTheme="majorHAnsi" w:hAnsiTheme="majorHAnsi" w:cs="Arial"/>
          <w:sz w:val="24"/>
          <w:szCs w:val="24"/>
        </w:rPr>
        <w:t xml:space="preserve">: </w:t>
      </w:r>
    </w:p>
    <w:p w:rsidR="00B90214" w:rsidRPr="00D558F3" w:rsidRDefault="00B90214" w:rsidP="00B90214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Theme="majorHAnsi" w:hAnsiTheme="majorHAnsi" w:cs="Arial"/>
          <w:sz w:val="24"/>
          <w:szCs w:val="24"/>
        </w:rPr>
      </w:pPr>
      <w:r w:rsidRPr="00D558F3">
        <w:rPr>
          <w:rFonts w:asciiTheme="majorHAnsi" w:hAnsiTheme="majorHAnsi" w:cs="Arial"/>
          <w:sz w:val="24"/>
          <w:szCs w:val="24"/>
        </w:rPr>
        <w:t>Dirigir o processo eleitoral, acompanhando o processo de inscrição, votação e apuração, responsabilizando-se pelo bom andamento de todos os trabalhos e resolvendo os eventuais incidentes que venham a ocorrer.</w:t>
      </w:r>
    </w:p>
    <w:p w:rsidR="00B90214" w:rsidRDefault="00B90214" w:rsidP="00B90214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Adotar as providências necessárias para a organização e a realização do pleito;</w:t>
      </w:r>
    </w:p>
    <w:p w:rsidR="00B90214" w:rsidRDefault="00D374DB" w:rsidP="00B90214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Analisar e encaminhar ao COMDEFI para homologação</w:t>
      </w:r>
      <w:proofErr w:type="gramStart"/>
      <w:r>
        <w:rPr>
          <w:rFonts w:asciiTheme="majorHAnsi" w:hAnsiTheme="majorHAnsi" w:cs="Arial"/>
          <w:sz w:val="24"/>
          <w:szCs w:val="24"/>
        </w:rPr>
        <w:t xml:space="preserve">  </w:t>
      </w:r>
      <w:proofErr w:type="gramEnd"/>
      <w:r w:rsidR="00B90214">
        <w:rPr>
          <w:rFonts w:asciiTheme="majorHAnsi" w:hAnsiTheme="majorHAnsi" w:cs="Arial"/>
          <w:sz w:val="24"/>
          <w:szCs w:val="24"/>
        </w:rPr>
        <w:t>as candidaturas;</w:t>
      </w:r>
    </w:p>
    <w:p w:rsidR="00B90214" w:rsidRDefault="00D374DB" w:rsidP="00B90214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lastRenderedPageBreak/>
        <w:t>Receber denú</w:t>
      </w:r>
      <w:r w:rsidR="00B90214">
        <w:rPr>
          <w:rFonts w:asciiTheme="majorHAnsi" w:hAnsiTheme="majorHAnsi" w:cs="Arial"/>
          <w:sz w:val="24"/>
          <w:szCs w:val="24"/>
        </w:rPr>
        <w:t>ncia contra candidatos, nos casos previstos em lei, adotar procedimentos necessários para apurá-los.</w:t>
      </w:r>
    </w:p>
    <w:p w:rsidR="00B90214" w:rsidRDefault="00B90214" w:rsidP="00B90214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Analisar e julgar eventuais impugnações apresentadas contra mesários, apuradores e a apuração;</w:t>
      </w:r>
    </w:p>
    <w:p w:rsidR="00B90214" w:rsidRDefault="00B90214" w:rsidP="00B90214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Lavrar a ata de votação, anotando todas as ocorrências;</w:t>
      </w:r>
    </w:p>
    <w:p w:rsidR="00B90214" w:rsidRDefault="00B90214" w:rsidP="00B90214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Realizar a apuração dos votos;</w:t>
      </w:r>
    </w:p>
    <w:p w:rsidR="00B90214" w:rsidRDefault="00B90214" w:rsidP="00B90214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Discip</w:t>
      </w:r>
      <w:r w:rsidR="00D374DB">
        <w:rPr>
          <w:rFonts w:asciiTheme="majorHAnsi" w:hAnsiTheme="majorHAnsi" w:cs="Arial"/>
          <w:sz w:val="24"/>
          <w:szCs w:val="24"/>
        </w:rPr>
        <w:t>linar procedimento para divulgação das candidaturas</w:t>
      </w:r>
      <w:r w:rsidR="00C9678B">
        <w:rPr>
          <w:rFonts w:asciiTheme="majorHAnsi" w:hAnsiTheme="majorHAnsi" w:cs="Arial"/>
          <w:sz w:val="24"/>
          <w:szCs w:val="24"/>
        </w:rPr>
        <w:t xml:space="preserve"> </w:t>
      </w:r>
      <w:r>
        <w:rPr>
          <w:rFonts w:asciiTheme="majorHAnsi" w:hAnsiTheme="majorHAnsi" w:cs="Arial"/>
          <w:sz w:val="24"/>
          <w:szCs w:val="24"/>
        </w:rPr>
        <w:t>e apurar irregularidades e denúncias advindas do descumprimento do</w:t>
      </w:r>
      <w:r w:rsidR="00D374DB">
        <w:rPr>
          <w:rFonts w:asciiTheme="majorHAnsi" w:hAnsiTheme="majorHAnsi" w:cs="Arial"/>
          <w:sz w:val="24"/>
          <w:szCs w:val="24"/>
        </w:rPr>
        <w:t>s</w:t>
      </w:r>
      <w:r>
        <w:rPr>
          <w:rFonts w:asciiTheme="majorHAnsi" w:hAnsiTheme="majorHAnsi" w:cs="Arial"/>
          <w:sz w:val="24"/>
          <w:szCs w:val="24"/>
        </w:rPr>
        <w:t xml:space="preserve"> regramento</w:t>
      </w:r>
      <w:r w:rsidR="00D374DB">
        <w:rPr>
          <w:rFonts w:asciiTheme="majorHAnsi" w:hAnsiTheme="majorHAnsi" w:cs="Arial"/>
          <w:sz w:val="24"/>
          <w:szCs w:val="24"/>
        </w:rPr>
        <w:t>s</w:t>
      </w:r>
      <w:r>
        <w:rPr>
          <w:rFonts w:asciiTheme="majorHAnsi" w:hAnsiTheme="majorHAnsi" w:cs="Arial"/>
          <w:sz w:val="24"/>
          <w:szCs w:val="24"/>
        </w:rPr>
        <w:t>;</w:t>
      </w:r>
    </w:p>
    <w:p w:rsidR="00B90214" w:rsidRDefault="00B90214" w:rsidP="00B90214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Publicar o resultado do pleito, abrindo prazo para recurso, estipulado em edital;</w:t>
      </w:r>
    </w:p>
    <w:p w:rsidR="00B90214" w:rsidRPr="00D558F3" w:rsidRDefault="00B90214" w:rsidP="00B90214">
      <w:pPr>
        <w:pStyle w:val="PargrafodaLista"/>
        <w:spacing w:line="360" w:lineRule="auto"/>
        <w:jc w:val="both"/>
        <w:rPr>
          <w:rFonts w:asciiTheme="majorHAnsi" w:hAnsiTheme="majorHAnsi" w:cs="Arial"/>
          <w:sz w:val="24"/>
          <w:szCs w:val="24"/>
        </w:rPr>
      </w:pPr>
    </w:p>
    <w:p w:rsidR="00B90214" w:rsidRDefault="00B90214" w:rsidP="00B90214">
      <w:pPr>
        <w:spacing w:line="36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Artigo 4º - Para efetividade de seus trabalhos o COMDEFI requisitará recursos humanos</w:t>
      </w:r>
      <w:r w:rsidR="00D374DB">
        <w:rPr>
          <w:rFonts w:asciiTheme="majorHAnsi" w:hAnsiTheme="majorHAnsi" w:cs="Arial"/>
          <w:sz w:val="24"/>
          <w:szCs w:val="24"/>
        </w:rPr>
        <w:t xml:space="preserve"> e infra-estrutura </w:t>
      </w:r>
      <w:r>
        <w:rPr>
          <w:rFonts w:asciiTheme="majorHAnsi" w:hAnsiTheme="majorHAnsi" w:cs="Arial"/>
          <w:sz w:val="24"/>
          <w:szCs w:val="24"/>
        </w:rPr>
        <w:t>da</w:t>
      </w:r>
      <w:r w:rsidR="00D374DB">
        <w:rPr>
          <w:rFonts w:asciiTheme="majorHAnsi" w:hAnsiTheme="majorHAnsi" w:cs="Arial"/>
          <w:sz w:val="24"/>
          <w:szCs w:val="24"/>
        </w:rPr>
        <w:t>s</w:t>
      </w:r>
      <w:r>
        <w:rPr>
          <w:rFonts w:asciiTheme="majorHAnsi" w:hAnsiTheme="majorHAnsi" w:cs="Arial"/>
          <w:sz w:val="24"/>
          <w:szCs w:val="24"/>
        </w:rPr>
        <w:t xml:space="preserve"> Secretaria</w:t>
      </w:r>
      <w:r w:rsidR="00D374DB">
        <w:rPr>
          <w:rFonts w:asciiTheme="majorHAnsi" w:hAnsiTheme="majorHAnsi" w:cs="Arial"/>
          <w:sz w:val="24"/>
          <w:szCs w:val="24"/>
        </w:rPr>
        <w:t>s Municipais,</w:t>
      </w:r>
      <w:r w:rsidR="00C9678B">
        <w:rPr>
          <w:rFonts w:asciiTheme="majorHAnsi" w:hAnsiTheme="majorHAnsi" w:cs="Arial"/>
          <w:sz w:val="24"/>
          <w:szCs w:val="24"/>
        </w:rPr>
        <w:t xml:space="preserve"> </w:t>
      </w:r>
      <w:r>
        <w:rPr>
          <w:rFonts w:asciiTheme="majorHAnsi" w:hAnsiTheme="majorHAnsi" w:cs="Arial"/>
          <w:sz w:val="24"/>
          <w:szCs w:val="24"/>
        </w:rPr>
        <w:t>dos Direitos da Pessoa com Deficiência</w:t>
      </w:r>
      <w:r w:rsidR="00D374DB">
        <w:rPr>
          <w:rFonts w:asciiTheme="majorHAnsi" w:hAnsiTheme="majorHAnsi" w:cs="Arial"/>
          <w:sz w:val="24"/>
          <w:szCs w:val="24"/>
        </w:rPr>
        <w:t xml:space="preserve"> e do Idoso, </w:t>
      </w:r>
      <w:r>
        <w:rPr>
          <w:rFonts w:asciiTheme="majorHAnsi" w:hAnsiTheme="majorHAnsi" w:cs="Arial"/>
          <w:sz w:val="24"/>
          <w:szCs w:val="24"/>
        </w:rPr>
        <w:t>Secret</w:t>
      </w:r>
      <w:r w:rsidR="00D374DB">
        <w:rPr>
          <w:rFonts w:asciiTheme="majorHAnsi" w:hAnsiTheme="majorHAnsi" w:cs="Arial"/>
          <w:sz w:val="24"/>
          <w:szCs w:val="24"/>
        </w:rPr>
        <w:t>aria de Planejamento e Tecnologia da Informação</w:t>
      </w:r>
      <w:r>
        <w:rPr>
          <w:rFonts w:asciiTheme="majorHAnsi" w:hAnsiTheme="majorHAnsi" w:cs="Arial"/>
          <w:sz w:val="24"/>
          <w:szCs w:val="24"/>
        </w:rPr>
        <w:t>, Secretari</w:t>
      </w:r>
      <w:r w:rsidR="00D374DB">
        <w:rPr>
          <w:rFonts w:asciiTheme="majorHAnsi" w:hAnsiTheme="majorHAnsi" w:cs="Arial"/>
          <w:sz w:val="24"/>
          <w:szCs w:val="24"/>
        </w:rPr>
        <w:t xml:space="preserve">a Municipal de Educação, Fundação </w:t>
      </w:r>
      <w:r w:rsidR="00C9678B">
        <w:rPr>
          <w:rFonts w:asciiTheme="majorHAnsi" w:hAnsiTheme="majorHAnsi" w:cs="Arial"/>
          <w:sz w:val="24"/>
          <w:szCs w:val="24"/>
        </w:rPr>
        <w:t>Cultural,</w:t>
      </w:r>
      <w:r w:rsidR="00D374DB">
        <w:rPr>
          <w:rFonts w:asciiTheme="majorHAnsi" w:hAnsiTheme="majorHAnsi" w:cs="Arial"/>
          <w:sz w:val="24"/>
          <w:szCs w:val="24"/>
        </w:rPr>
        <w:t xml:space="preserve"> </w:t>
      </w:r>
      <w:r>
        <w:rPr>
          <w:rFonts w:asciiTheme="majorHAnsi" w:hAnsiTheme="majorHAnsi" w:cs="Arial"/>
          <w:sz w:val="24"/>
          <w:szCs w:val="24"/>
        </w:rPr>
        <w:t>entre outras que prover necessários a realização do pleito.</w:t>
      </w:r>
    </w:p>
    <w:p w:rsidR="00C9678B" w:rsidRDefault="00B90214" w:rsidP="00B90214">
      <w:pPr>
        <w:spacing w:line="360" w:lineRule="auto"/>
        <w:jc w:val="both"/>
        <w:rPr>
          <w:rFonts w:asciiTheme="majorHAnsi" w:hAnsiTheme="majorHAnsi" w:cs="Arial"/>
          <w:sz w:val="24"/>
          <w:szCs w:val="24"/>
        </w:rPr>
      </w:pPr>
      <w:r w:rsidRPr="000948B2">
        <w:rPr>
          <w:rFonts w:asciiTheme="majorHAnsi" w:hAnsiTheme="majorHAnsi" w:cs="Arial"/>
          <w:sz w:val="24"/>
          <w:szCs w:val="24"/>
        </w:rPr>
        <w:t xml:space="preserve">Artigo 3º - </w:t>
      </w:r>
      <w:r w:rsidR="00C9678B">
        <w:rPr>
          <w:rFonts w:asciiTheme="majorHAnsi" w:hAnsiTheme="majorHAnsi" w:cs="Arial"/>
          <w:sz w:val="24"/>
          <w:szCs w:val="24"/>
        </w:rPr>
        <w:t>A referida Comissão se manterá até o término do processo, ou seja, até a</w:t>
      </w:r>
      <w:proofErr w:type="gramStart"/>
      <w:r w:rsidR="00C9678B">
        <w:rPr>
          <w:rFonts w:asciiTheme="majorHAnsi" w:hAnsiTheme="majorHAnsi" w:cs="Arial"/>
          <w:sz w:val="24"/>
          <w:szCs w:val="24"/>
        </w:rPr>
        <w:t xml:space="preserve">  </w:t>
      </w:r>
      <w:proofErr w:type="gramEnd"/>
      <w:r w:rsidR="00C9678B">
        <w:rPr>
          <w:rFonts w:asciiTheme="majorHAnsi" w:hAnsiTheme="majorHAnsi" w:cs="Arial"/>
          <w:sz w:val="24"/>
          <w:szCs w:val="24"/>
        </w:rPr>
        <w:t>posse dos conselheiros eleitos .</w:t>
      </w:r>
    </w:p>
    <w:p w:rsidR="00B90214" w:rsidRPr="000948B2" w:rsidRDefault="00C9678B" w:rsidP="00B90214">
      <w:pPr>
        <w:spacing w:line="360" w:lineRule="auto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Art. 4º - Esta </w:t>
      </w:r>
      <w:r w:rsidR="00B90214" w:rsidRPr="000948B2">
        <w:rPr>
          <w:rFonts w:asciiTheme="majorHAnsi" w:hAnsiTheme="majorHAnsi" w:cs="Arial"/>
          <w:sz w:val="24"/>
          <w:szCs w:val="24"/>
        </w:rPr>
        <w:t>resolução entrará em vigor na data de sua publicação, revogando disposições em contrario.</w:t>
      </w:r>
    </w:p>
    <w:p w:rsidR="00B90214" w:rsidRPr="000948B2" w:rsidRDefault="00B90214" w:rsidP="00B90214">
      <w:pPr>
        <w:pStyle w:val="SemEspaamento"/>
        <w:rPr>
          <w:rFonts w:asciiTheme="majorHAnsi" w:hAnsiTheme="majorHAnsi"/>
          <w:b/>
          <w:sz w:val="24"/>
          <w:szCs w:val="24"/>
        </w:rPr>
      </w:pPr>
    </w:p>
    <w:p w:rsidR="00B90214" w:rsidRPr="00D374DB" w:rsidRDefault="00D374DB" w:rsidP="00D374DB">
      <w:pPr>
        <w:rPr>
          <w:b/>
          <w:sz w:val="28"/>
          <w:szCs w:val="28"/>
        </w:rPr>
      </w:pPr>
      <w:r w:rsidRPr="00D374DB">
        <w:rPr>
          <w:b/>
          <w:sz w:val="28"/>
          <w:szCs w:val="28"/>
        </w:rPr>
        <w:t>Odair Restani Valentim</w:t>
      </w:r>
    </w:p>
    <w:p w:rsidR="00B90214" w:rsidRPr="00D374DB" w:rsidRDefault="00B90214" w:rsidP="00D374DB">
      <w:pPr>
        <w:rPr>
          <w:sz w:val="28"/>
          <w:szCs w:val="28"/>
        </w:rPr>
      </w:pPr>
      <w:r w:rsidRPr="00D374DB">
        <w:rPr>
          <w:sz w:val="28"/>
          <w:szCs w:val="28"/>
        </w:rPr>
        <w:t xml:space="preserve"> Presidente</w:t>
      </w:r>
      <w:r w:rsidR="00D374DB">
        <w:rPr>
          <w:sz w:val="28"/>
          <w:szCs w:val="28"/>
        </w:rPr>
        <w:t xml:space="preserve"> do </w:t>
      </w:r>
      <w:r w:rsidRPr="00D374DB">
        <w:rPr>
          <w:sz w:val="28"/>
          <w:szCs w:val="28"/>
        </w:rPr>
        <w:t>COMDEFI</w:t>
      </w:r>
    </w:p>
    <w:p w:rsidR="00B90214" w:rsidRPr="00D374DB" w:rsidRDefault="00B90214" w:rsidP="00D374DB">
      <w:pPr>
        <w:rPr>
          <w:rFonts w:cs="Arial"/>
        </w:rPr>
      </w:pPr>
    </w:p>
    <w:p w:rsidR="00B90214" w:rsidRDefault="00B90214" w:rsidP="00B90214"/>
    <w:p w:rsidR="000A268B" w:rsidRDefault="000A268B"/>
    <w:sectPr w:rsidR="000A268B" w:rsidSect="000A26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543D" w:rsidRDefault="0039543D" w:rsidP="0039543D">
      <w:pPr>
        <w:spacing w:after="0" w:line="240" w:lineRule="auto"/>
      </w:pPr>
      <w:r>
        <w:separator/>
      </w:r>
    </w:p>
  </w:endnote>
  <w:endnote w:type="continuationSeparator" w:id="1">
    <w:p w:rsidR="0039543D" w:rsidRDefault="0039543D" w:rsidP="00395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43D" w:rsidRDefault="0039543D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43D" w:rsidRDefault="0039543D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43D" w:rsidRDefault="0039543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543D" w:rsidRDefault="0039543D" w:rsidP="0039543D">
      <w:pPr>
        <w:spacing w:after="0" w:line="240" w:lineRule="auto"/>
      </w:pPr>
      <w:r>
        <w:separator/>
      </w:r>
    </w:p>
  </w:footnote>
  <w:footnote w:type="continuationSeparator" w:id="1">
    <w:p w:rsidR="0039543D" w:rsidRDefault="0039543D" w:rsidP="00395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43D" w:rsidRDefault="0039543D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7DF" w:rsidRPr="00F02453" w:rsidRDefault="0039543D" w:rsidP="00CA57DF">
    <w:pPr>
      <w:pStyle w:val="Cabealho"/>
      <w:jc w:val="center"/>
      <w:rPr>
        <w:b/>
        <w:sz w:val="20"/>
        <w:szCs w:val="20"/>
      </w:rPr>
    </w:pPr>
    <w:r w:rsidRPr="00F02453">
      <w:rPr>
        <w:noProof/>
        <w:sz w:val="20"/>
        <w:szCs w:val="20"/>
        <w:lang w:eastAsia="pt-BR"/>
      </w:rPr>
      <w:drawing>
        <wp:inline distT="0" distB="0" distL="0" distR="0">
          <wp:extent cx="884465" cy="664029"/>
          <wp:effectExtent l="19050" t="0" r="0" b="0"/>
          <wp:docPr id="5" name="Imagem 1" descr="?attid=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?attid=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8489" cy="667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F02453">
      <w:rPr>
        <w:b/>
        <w:sz w:val="20"/>
        <w:szCs w:val="20"/>
      </w:rPr>
      <w:t xml:space="preserve"> CONSELHO MUNICIPAL DA PESSOA COM DEFICIÊNCIA</w:t>
    </w:r>
  </w:p>
  <w:p w:rsidR="00CA57DF" w:rsidRPr="00F02453" w:rsidRDefault="0039543D" w:rsidP="00CA57DF">
    <w:pPr>
      <w:pStyle w:val="Cabealho"/>
      <w:jc w:val="center"/>
      <w:rPr>
        <w:b/>
        <w:sz w:val="20"/>
        <w:szCs w:val="20"/>
      </w:rPr>
    </w:pPr>
    <w:r w:rsidRPr="00F02453">
      <w:rPr>
        <w:b/>
        <w:sz w:val="20"/>
        <w:szCs w:val="20"/>
      </w:rPr>
      <w:t>Avenida Rio de Janeiro, 860 – Bairro Indaiá – Fone: 12-3897-7023</w:t>
    </w:r>
  </w:p>
  <w:p w:rsidR="00CA57DF" w:rsidRPr="00F02453" w:rsidRDefault="0039543D" w:rsidP="00CA57DF">
    <w:pPr>
      <w:pStyle w:val="Cabealho"/>
      <w:jc w:val="center"/>
      <w:rPr>
        <w:b/>
        <w:sz w:val="20"/>
        <w:szCs w:val="20"/>
      </w:rPr>
    </w:pPr>
    <w:r w:rsidRPr="00F02453">
      <w:rPr>
        <w:b/>
        <w:sz w:val="20"/>
        <w:szCs w:val="20"/>
      </w:rPr>
      <w:t>E-mail: sepedi.conselho@caraguatatuba.sp.gov.br</w:t>
    </w:r>
  </w:p>
  <w:p w:rsidR="00CA57DF" w:rsidRDefault="0039543D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43D" w:rsidRDefault="0039543D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86C6B"/>
    <w:multiLevelType w:val="hybridMultilevel"/>
    <w:tmpl w:val="B158113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214"/>
    <w:rsid w:val="000A268B"/>
    <w:rsid w:val="0039543D"/>
    <w:rsid w:val="00B90214"/>
    <w:rsid w:val="00C9678B"/>
    <w:rsid w:val="00D374DB"/>
    <w:rsid w:val="00D8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214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B90214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semiHidden/>
    <w:rsid w:val="00B90214"/>
  </w:style>
  <w:style w:type="paragraph" w:styleId="Subttulo">
    <w:name w:val="Subtitle"/>
    <w:basedOn w:val="Normal"/>
    <w:next w:val="Normal"/>
    <w:link w:val="SubttuloChar"/>
    <w:qFormat/>
    <w:rsid w:val="00B90214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en-US"/>
    </w:rPr>
  </w:style>
  <w:style w:type="character" w:customStyle="1" w:styleId="SubttuloChar">
    <w:name w:val="Subtítulo Char"/>
    <w:basedOn w:val="Fontepargpadro"/>
    <w:link w:val="Subttulo"/>
    <w:rsid w:val="00B90214"/>
    <w:rPr>
      <w:rFonts w:ascii="Cambria" w:eastAsia="Times New Roman" w:hAnsi="Cambria" w:cs="Times New Roman"/>
      <w:sz w:val="24"/>
      <w:szCs w:val="24"/>
      <w:lang w:val="en-US"/>
    </w:rPr>
  </w:style>
  <w:style w:type="paragraph" w:styleId="SemEspaamento">
    <w:name w:val="No Spacing"/>
    <w:uiPriority w:val="1"/>
    <w:qFormat/>
    <w:rsid w:val="00B90214"/>
    <w:pPr>
      <w:spacing w:after="0" w:line="240" w:lineRule="auto"/>
    </w:pPr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90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0214"/>
    <w:rPr>
      <w:rFonts w:ascii="Tahoma" w:eastAsia="Calibri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90214"/>
    <w:pPr>
      <w:ind w:left="720"/>
      <w:contextualSpacing/>
    </w:pPr>
  </w:style>
  <w:style w:type="paragraph" w:styleId="Rodap">
    <w:name w:val="footer"/>
    <w:basedOn w:val="Normal"/>
    <w:link w:val="RodapChar"/>
    <w:uiPriority w:val="99"/>
    <w:semiHidden/>
    <w:unhideWhenUsed/>
    <w:rsid w:val="003954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39543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446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02897</dc:creator>
  <cp:lastModifiedBy>02897</cp:lastModifiedBy>
  <cp:revision>2</cp:revision>
  <cp:lastPrinted>2014-10-06T14:41:00Z</cp:lastPrinted>
  <dcterms:created xsi:type="dcterms:W3CDTF">2014-10-06T14:16:00Z</dcterms:created>
  <dcterms:modified xsi:type="dcterms:W3CDTF">2014-10-06T18:05:00Z</dcterms:modified>
</cp:coreProperties>
</file>